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971" w:rsidRDefault="00123971">
      <w:pPr>
        <w:pStyle w:val="NormalWeb"/>
        <w:widowControl/>
        <w:shd w:val="clear" w:color="auto" w:fill="FFFFFF"/>
        <w:spacing w:before="75" w:beforeAutospacing="0" w:after="75" w:afterAutospacing="0" w:line="312" w:lineRule="atLeast"/>
        <w:rPr>
          <w:rFonts w:ascii="Times New Roman" w:eastAsia="宋体" w:hAnsi="Times New Roman"/>
          <w:color w:val="555555"/>
        </w:rPr>
      </w:pPr>
      <w:r>
        <w:rPr>
          <w:rFonts w:ascii="Times New Roman" w:eastAsia="宋体" w:hAnsi="Times New Roman" w:hint="eastAsia"/>
          <w:color w:val="555555"/>
          <w:shd w:val="clear" w:color="auto" w:fill="FFFFFF"/>
        </w:rPr>
        <w:t>附件</w:t>
      </w:r>
    </w:p>
    <w:p w:rsidR="00123971" w:rsidRDefault="00123971">
      <w:pPr>
        <w:pStyle w:val="NormalWeb"/>
        <w:widowControl/>
        <w:shd w:val="clear" w:color="auto" w:fill="FFFFFF"/>
        <w:spacing w:before="75" w:beforeAutospacing="0" w:after="75" w:afterAutospacing="0" w:line="312" w:lineRule="atLeast"/>
        <w:rPr>
          <w:rFonts w:ascii="Times New Roman" w:eastAsia="宋体" w:hAnsi="Times New Roman"/>
          <w:color w:val="555555"/>
        </w:rPr>
      </w:pPr>
      <w:r>
        <w:rPr>
          <w:rFonts w:ascii="Times New Roman" w:eastAsia="宋体" w:hAnsi="Times New Roman"/>
          <w:color w:val="555555"/>
          <w:shd w:val="clear" w:color="auto" w:fill="FFFFFF"/>
        </w:rPr>
        <w:t>           </w:t>
      </w:r>
      <w:r>
        <w:rPr>
          <w:rFonts w:ascii="Times New Roman" w:eastAsia="宋体" w:hAnsi="Times New Roman"/>
          <w:b/>
          <w:color w:val="555555"/>
          <w:shd w:val="clear" w:color="auto" w:fill="FFFFFF"/>
        </w:rPr>
        <w:t>   </w:t>
      </w:r>
      <w:bookmarkStart w:id="0" w:name="_GoBack"/>
      <w:bookmarkEnd w:id="0"/>
      <w:r>
        <w:rPr>
          <w:rFonts w:ascii="Times New Roman" w:eastAsia="宋体" w:hAnsi="Times New Roman" w:hint="eastAsia"/>
          <w:b/>
          <w:color w:val="555555"/>
          <w:shd w:val="clear" w:color="auto" w:fill="FFFFFF"/>
        </w:rPr>
        <w:t>市政府及市政府办公室规范性文件设定的证明事项取消目录</w:t>
      </w:r>
    </w:p>
    <w:p w:rsidR="00123971" w:rsidRDefault="00123971">
      <w:pPr>
        <w:pStyle w:val="NormalWeb"/>
        <w:widowControl/>
        <w:shd w:val="clear" w:color="auto" w:fill="FFFFFF"/>
        <w:spacing w:before="75" w:beforeAutospacing="0" w:after="75" w:afterAutospacing="0" w:line="312" w:lineRule="atLeast"/>
        <w:rPr>
          <w:rFonts w:ascii="Times New Roman" w:eastAsia="宋体" w:hAnsi="Times New Roman"/>
          <w:color w:val="555555"/>
        </w:rPr>
      </w:pPr>
    </w:p>
    <w:tbl>
      <w:tblPr>
        <w:tblW w:w="9464" w:type="dxa"/>
        <w:jc w:val="center"/>
        <w:tblInd w:w="-471" w:type="dxa"/>
        <w:tblBorders>
          <w:insideH w:val="outset" w:sz="6" w:space="0" w:color="auto"/>
          <w:insideV w:val="outset" w:sz="6" w:space="0" w:color="auto"/>
        </w:tblBorders>
        <w:tblLayout w:type="fixed"/>
        <w:tblCellMar>
          <w:left w:w="0" w:type="dxa"/>
          <w:right w:w="0" w:type="dxa"/>
        </w:tblCellMar>
        <w:tblLook w:val="00A0"/>
      </w:tblPr>
      <w:tblGrid>
        <w:gridCol w:w="456"/>
        <w:gridCol w:w="1416"/>
        <w:gridCol w:w="1245"/>
        <w:gridCol w:w="5100"/>
        <w:gridCol w:w="1247"/>
      </w:tblGrid>
      <w:tr w:rsidR="00123971">
        <w:trPr>
          <w:jc w:val="center"/>
        </w:trPr>
        <w:tc>
          <w:tcPr>
            <w:tcW w:w="456" w:type="dxa"/>
            <w:vMerge w:val="restar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400" w:lineRule="atLeast"/>
              <w:rPr>
                <w:rFonts w:ascii="Times New Roman" w:eastAsia="宋体" w:hAnsi="Times New Roman"/>
              </w:rPr>
            </w:pPr>
            <w:r>
              <w:rPr>
                <w:rFonts w:ascii="Times New Roman" w:eastAsia="宋体" w:hAnsi="Times New Roman" w:hint="eastAsia"/>
                <w:color w:val="000000"/>
                <w:shd w:val="clear" w:color="auto" w:fill="FFFFFF"/>
              </w:rPr>
              <w:t>序号</w:t>
            </w:r>
          </w:p>
        </w:tc>
        <w:tc>
          <w:tcPr>
            <w:tcW w:w="1416" w:type="dxa"/>
            <w:vMerge w:val="restart"/>
            <w:tcBorders>
              <w:top w:val="single" w:sz="8" w:space="0" w:color="000000"/>
              <w:left w:val="nil"/>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400" w:lineRule="atLeast"/>
              <w:jc w:val="center"/>
              <w:rPr>
                <w:rFonts w:ascii="Times New Roman" w:eastAsia="宋体" w:hAnsi="Times New Roman"/>
              </w:rPr>
            </w:pPr>
            <w:r>
              <w:rPr>
                <w:rFonts w:ascii="Times New Roman" w:eastAsia="宋体" w:hAnsi="Times New Roman" w:hint="eastAsia"/>
                <w:color w:val="000000"/>
                <w:shd w:val="clear" w:color="auto" w:fill="FFFFFF"/>
              </w:rPr>
              <w:t>证明名称</w:t>
            </w:r>
          </w:p>
        </w:tc>
        <w:tc>
          <w:tcPr>
            <w:tcW w:w="1245" w:type="dxa"/>
            <w:vMerge w:val="restart"/>
            <w:tcBorders>
              <w:top w:val="single" w:sz="8" w:space="0" w:color="000000"/>
              <w:left w:val="nil"/>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400" w:lineRule="atLeast"/>
              <w:jc w:val="center"/>
              <w:rPr>
                <w:rFonts w:ascii="Times New Roman" w:eastAsia="宋体" w:hAnsi="Times New Roman"/>
              </w:rPr>
            </w:pPr>
            <w:r>
              <w:rPr>
                <w:rFonts w:ascii="Times New Roman" w:eastAsia="宋体" w:hAnsi="Times New Roman" w:hint="eastAsia"/>
                <w:color w:val="000000"/>
                <w:shd w:val="clear" w:color="auto" w:fill="FFFFFF"/>
              </w:rPr>
              <w:t>证明用途</w:t>
            </w:r>
          </w:p>
        </w:tc>
        <w:tc>
          <w:tcPr>
            <w:tcW w:w="5100" w:type="dxa"/>
            <w:tcBorders>
              <w:top w:val="single" w:sz="8" w:space="0" w:color="000000"/>
              <w:left w:val="nil"/>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400" w:lineRule="atLeast"/>
              <w:jc w:val="center"/>
              <w:rPr>
                <w:rFonts w:ascii="Times New Roman" w:eastAsia="宋体" w:hAnsi="Times New Roman"/>
              </w:rPr>
            </w:pPr>
            <w:r>
              <w:rPr>
                <w:rFonts w:ascii="Times New Roman" w:eastAsia="宋体" w:hAnsi="Times New Roman" w:hint="eastAsia"/>
                <w:color w:val="000000"/>
                <w:shd w:val="clear" w:color="auto" w:fill="FFFFFF"/>
              </w:rPr>
              <w:t>设定依据</w:t>
            </w:r>
          </w:p>
        </w:tc>
        <w:tc>
          <w:tcPr>
            <w:tcW w:w="1247" w:type="dxa"/>
            <w:vMerge w:val="restart"/>
            <w:tcBorders>
              <w:top w:val="single" w:sz="8" w:space="0" w:color="000000"/>
              <w:left w:val="nil"/>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400" w:lineRule="atLeast"/>
              <w:jc w:val="center"/>
              <w:rPr>
                <w:rFonts w:ascii="Times New Roman" w:eastAsia="宋体" w:hAnsi="Times New Roman"/>
              </w:rPr>
            </w:pPr>
            <w:r>
              <w:rPr>
                <w:rFonts w:ascii="Times New Roman" w:eastAsia="宋体" w:hAnsi="Times New Roman" w:hint="eastAsia"/>
                <w:color w:val="000000"/>
                <w:shd w:val="clear" w:color="auto" w:fill="FFFFFF"/>
              </w:rPr>
              <w:t>取消后的办理方式</w:t>
            </w:r>
          </w:p>
        </w:tc>
      </w:tr>
      <w:tr w:rsidR="00123971">
        <w:trPr>
          <w:jc w:val="center"/>
        </w:trPr>
        <w:tc>
          <w:tcPr>
            <w:tcW w:w="456" w:type="dxa"/>
            <w:vMerge/>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123971" w:rsidRDefault="00123971">
            <w:pPr>
              <w:rPr>
                <w:rFonts w:ascii="Times New Roman" w:eastAsia="宋体" w:hAnsi="Times New Roman"/>
                <w:sz w:val="24"/>
              </w:rPr>
            </w:pPr>
          </w:p>
        </w:tc>
        <w:tc>
          <w:tcPr>
            <w:tcW w:w="1416" w:type="dxa"/>
            <w:vMerge/>
            <w:tcBorders>
              <w:top w:val="single" w:sz="8" w:space="0" w:color="000000"/>
              <w:left w:val="nil"/>
              <w:bottom w:val="single" w:sz="8" w:space="0" w:color="000000"/>
              <w:right w:val="single" w:sz="8" w:space="0" w:color="000000"/>
            </w:tcBorders>
            <w:tcMar>
              <w:left w:w="108" w:type="dxa"/>
              <w:right w:w="108" w:type="dxa"/>
            </w:tcMar>
            <w:vAlign w:val="center"/>
          </w:tcPr>
          <w:p w:rsidR="00123971" w:rsidRDefault="00123971">
            <w:pPr>
              <w:rPr>
                <w:rFonts w:ascii="Times New Roman" w:eastAsia="宋体" w:hAnsi="Times New Roman"/>
                <w:sz w:val="24"/>
              </w:rPr>
            </w:pPr>
          </w:p>
        </w:tc>
        <w:tc>
          <w:tcPr>
            <w:tcW w:w="1245" w:type="dxa"/>
            <w:vMerge/>
            <w:tcBorders>
              <w:top w:val="single" w:sz="8" w:space="0" w:color="000000"/>
              <w:left w:val="nil"/>
              <w:bottom w:val="single" w:sz="8" w:space="0" w:color="000000"/>
              <w:right w:val="single" w:sz="8" w:space="0" w:color="000000"/>
            </w:tcBorders>
            <w:tcMar>
              <w:left w:w="108" w:type="dxa"/>
              <w:right w:w="108" w:type="dxa"/>
            </w:tcMar>
            <w:vAlign w:val="center"/>
          </w:tcPr>
          <w:p w:rsidR="00123971" w:rsidRDefault="00123971">
            <w:pPr>
              <w:rPr>
                <w:rFonts w:ascii="Times New Roman" w:eastAsia="宋体" w:hAnsi="Times New Roman"/>
                <w:sz w:val="24"/>
              </w:rPr>
            </w:pPr>
          </w:p>
        </w:tc>
        <w:tc>
          <w:tcPr>
            <w:tcW w:w="5100" w:type="dxa"/>
            <w:tcBorders>
              <w:top w:val="nil"/>
              <w:left w:val="nil"/>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400" w:lineRule="atLeast"/>
              <w:jc w:val="center"/>
              <w:rPr>
                <w:rFonts w:ascii="Times New Roman" w:eastAsia="宋体" w:hAnsi="Times New Roman"/>
              </w:rPr>
            </w:pPr>
            <w:r>
              <w:rPr>
                <w:rFonts w:ascii="Times New Roman" w:eastAsia="宋体" w:hAnsi="Times New Roman" w:hint="eastAsia"/>
                <w:color w:val="000000"/>
                <w:shd w:val="clear" w:color="auto" w:fill="FFFFFF"/>
              </w:rPr>
              <w:t>依据名称、文号及条文内容</w:t>
            </w:r>
          </w:p>
        </w:tc>
        <w:tc>
          <w:tcPr>
            <w:tcW w:w="1247" w:type="dxa"/>
            <w:vMerge/>
            <w:tcBorders>
              <w:top w:val="single" w:sz="8" w:space="0" w:color="000000"/>
              <w:left w:val="nil"/>
              <w:bottom w:val="single" w:sz="8" w:space="0" w:color="000000"/>
              <w:right w:val="single" w:sz="8" w:space="0" w:color="000000"/>
            </w:tcBorders>
            <w:tcMar>
              <w:left w:w="108" w:type="dxa"/>
              <w:right w:w="108" w:type="dxa"/>
            </w:tcMar>
            <w:vAlign w:val="center"/>
          </w:tcPr>
          <w:p w:rsidR="00123971" w:rsidRDefault="00123971">
            <w:pPr>
              <w:rPr>
                <w:rFonts w:ascii="Times New Roman" w:eastAsia="宋体" w:hAnsi="Times New Roman"/>
                <w:sz w:val="24"/>
              </w:rPr>
            </w:pPr>
          </w:p>
        </w:tc>
      </w:tr>
      <w:tr w:rsidR="00123971">
        <w:trPr>
          <w:jc w:val="center"/>
        </w:trPr>
        <w:tc>
          <w:tcPr>
            <w:tcW w:w="456" w:type="dxa"/>
            <w:tcBorders>
              <w:top w:val="nil"/>
              <w:left w:val="single" w:sz="8" w:space="0" w:color="000000"/>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400" w:lineRule="atLeast"/>
              <w:jc w:val="center"/>
              <w:rPr>
                <w:rFonts w:ascii="Times New Roman" w:eastAsia="宋体" w:hAnsi="Times New Roman"/>
              </w:rPr>
            </w:pPr>
            <w:r>
              <w:rPr>
                <w:rFonts w:ascii="Times New Roman" w:eastAsia="宋体" w:hAnsi="Times New Roman"/>
                <w:color w:val="000000"/>
                <w:shd w:val="clear" w:color="auto" w:fill="FFFFFF"/>
              </w:rPr>
              <w:t>1</w:t>
            </w:r>
          </w:p>
        </w:tc>
        <w:tc>
          <w:tcPr>
            <w:tcW w:w="1416"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260" w:lineRule="atLeast"/>
              <w:jc w:val="left"/>
              <w:rPr>
                <w:rFonts w:ascii="Times New Roman" w:eastAsia="宋体" w:hAnsi="Times New Roman"/>
                <w:sz w:val="24"/>
              </w:rPr>
            </w:pPr>
            <w:r>
              <w:rPr>
                <w:rFonts w:ascii="Times New Roman" w:eastAsia="宋体" w:hAnsi="Times New Roman" w:hint="eastAsia"/>
                <w:color w:val="000000"/>
                <w:kern w:val="0"/>
                <w:sz w:val="24"/>
                <w:lang/>
              </w:rPr>
              <w:t>利用建筑（构筑）物设置大型户外广告设施的建筑结构安全证明</w:t>
            </w:r>
          </w:p>
        </w:tc>
        <w:tc>
          <w:tcPr>
            <w:tcW w:w="1245"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300" w:lineRule="atLeast"/>
              <w:jc w:val="left"/>
              <w:rPr>
                <w:rFonts w:ascii="Times New Roman" w:eastAsia="宋体" w:hAnsi="Times New Roman"/>
                <w:sz w:val="24"/>
              </w:rPr>
            </w:pPr>
            <w:r>
              <w:rPr>
                <w:rFonts w:ascii="Times New Roman" w:eastAsia="宋体" w:hAnsi="Times New Roman" w:hint="eastAsia"/>
                <w:color w:val="000000"/>
                <w:kern w:val="0"/>
                <w:sz w:val="24"/>
                <w:lang/>
              </w:rPr>
              <w:t>设置大型户外广告的审批</w:t>
            </w:r>
          </w:p>
        </w:tc>
        <w:tc>
          <w:tcPr>
            <w:tcW w:w="5100"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240" w:lineRule="atLeast"/>
              <w:jc w:val="left"/>
              <w:rPr>
                <w:rFonts w:ascii="Times New Roman" w:eastAsia="宋体" w:hAnsi="Times New Roman"/>
                <w:sz w:val="24"/>
              </w:rPr>
            </w:pPr>
            <w:r>
              <w:rPr>
                <w:rFonts w:ascii="Times New Roman" w:eastAsia="宋体" w:hAnsi="Times New Roman" w:hint="eastAsia"/>
                <w:color w:val="000000"/>
                <w:kern w:val="0"/>
                <w:sz w:val="24"/>
                <w:lang/>
              </w:rPr>
              <w:t>《泉州市人民政府关于印发泉州市城市户外广告设施设置管理规定和泉州市户外广告设施设置技术规定的通知》（泉政文〔</w:t>
            </w:r>
            <w:r>
              <w:rPr>
                <w:rFonts w:ascii="Times New Roman" w:eastAsia="宋体" w:hAnsi="Times New Roman"/>
                <w:color w:val="000000"/>
                <w:kern w:val="0"/>
                <w:sz w:val="24"/>
                <w:lang/>
              </w:rPr>
              <w:t>2018</w:t>
            </w:r>
            <w:r>
              <w:rPr>
                <w:rFonts w:ascii="Times New Roman" w:eastAsia="宋体" w:hAnsi="Times New Roman" w:hint="eastAsia"/>
                <w:color w:val="000000"/>
                <w:kern w:val="0"/>
                <w:sz w:val="24"/>
                <w:lang/>
              </w:rPr>
              <w:t>〕</w:t>
            </w:r>
            <w:r>
              <w:rPr>
                <w:rFonts w:ascii="Times New Roman" w:eastAsia="宋体" w:hAnsi="Times New Roman"/>
                <w:color w:val="000000"/>
                <w:kern w:val="0"/>
                <w:sz w:val="24"/>
                <w:lang/>
              </w:rPr>
              <w:t>21</w:t>
            </w:r>
            <w:r>
              <w:rPr>
                <w:rFonts w:ascii="Times New Roman" w:eastAsia="宋体" w:hAnsi="Times New Roman" w:hint="eastAsia"/>
                <w:color w:val="000000"/>
                <w:kern w:val="0"/>
                <w:sz w:val="24"/>
                <w:lang/>
              </w:rPr>
              <w:t>号）第十二点：（四）利用建筑（构筑）物设置大型户外广告设施的，应当提供原设计单位或者有相应设计资质的单位出具的建筑结构安全证明材料。</w:t>
            </w:r>
          </w:p>
        </w:tc>
        <w:tc>
          <w:tcPr>
            <w:tcW w:w="1247"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280" w:lineRule="atLeast"/>
              <w:jc w:val="center"/>
              <w:rPr>
                <w:rFonts w:ascii="Times New Roman" w:eastAsia="宋体" w:hAnsi="Times New Roman"/>
                <w:sz w:val="24"/>
              </w:rPr>
            </w:pPr>
            <w:r>
              <w:rPr>
                <w:rFonts w:ascii="Times New Roman" w:eastAsia="宋体" w:hAnsi="Times New Roman" w:hint="eastAsia"/>
                <w:color w:val="000000"/>
                <w:kern w:val="0"/>
                <w:sz w:val="24"/>
                <w:lang/>
              </w:rPr>
              <w:t>取消</w:t>
            </w:r>
          </w:p>
        </w:tc>
      </w:tr>
      <w:tr w:rsidR="00123971">
        <w:trPr>
          <w:jc w:val="center"/>
        </w:trPr>
        <w:tc>
          <w:tcPr>
            <w:tcW w:w="456" w:type="dxa"/>
            <w:tcBorders>
              <w:top w:val="nil"/>
              <w:left w:val="single" w:sz="8" w:space="0" w:color="000000"/>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400" w:lineRule="atLeast"/>
              <w:jc w:val="center"/>
              <w:rPr>
                <w:rFonts w:ascii="Times New Roman" w:eastAsia="宋体" w:hAnsi="Times New Roman"/>
              </w:rPr>
            </w:pPr>
            <w:r>
              <w:rPr>
                <w:rFonts w:ascii="Times New Roman" w:eastAsia="宋体" w:hAnsi="Times New Roman"/>
                <w:color w:val="000000"/>
                <w:shd w:val="clear" w:color="auto" w:fill="FFFFFF"/>
              </w:rPr>
              <w:t>2</w:t>
            </w:r>
          </w:p>
        </w:tc>
        <w:tc>
          <w:tcPr>
            <w:tcW w:w="1416"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260" w:lineRule="atLeast"/>
              <w:jc w:val="left"/>
              <w:rPr>
                <w:rFonts w:ascii="Times New Roman" w:eastAsia="宋体" w:hAnsi="Times New Roman"/>
                <w:sz w:val="24"/>
              </w:rPr>
            </w:pPr>
            <w:r>
              <w:rPr>
                <w:rFonts w:ascii="Times New Roman" w:eastAsia="宋体" w:hAnsi="Times New Roman" w:hint="eastAsia"/>
                <w:color w:val="000000"/>
                <w:kern w:val="0"/>
                <w:sz w:val="24"/>
                <w:lang/>
              </w:rPr>
              <w:t>设置户外广告设施的场地权属证明</w:t>
            </w:r>
          </w:p>
        </w:tc>
        <w:tc>
          <w:tcPr>
            <w:tcW w:w="1245"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300" w:lineRule="atLeast"/>
              <w:jc w:val="left"/>
              <w:rPr>
                <w:rFonts w:ascii="Times New Roman" w:eastAsia="宋体" w:hAnsi="Times New Roman"/>
                <w:sz w:val="24"/>
              </w:rPr>
            </w:pPr>
            <w:r>
              <w:rPr>
                <w:rFonts w:ascii="Times New Roman" w:eastAsia="宋体" w:hAnsi="Times New Roman" w:hint="eastAsia"/>
                <w:color w:val="000000"/>
                <w:kern w:val="0"/>
                <w:sz w:val="24"/>
                <w:lang/>
              </w:rPr>
              <w:t>设置大型户外广告的审批</w:t>
            </w:r>
          </w:p>
        </w:tc>
        <w:tc>
          <w:tcPr>
            <w:tcW w:w="5100"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260" w:lineRule="atLeast"/>
              <w:jc w:val="left"/>
              <w:rPr>
                <w:rFonts w:ascii="Times New Roman" w:eastAsia="宋体" w:hAnsi="Times New Roman"/>
                <w:sz w:val="24"/>
              </w:rPr>
            </w:pPr>
            <w:r>
              <w:rPr>
                <w:rFonts w:ascii="Times New Roman" w:eastAsia="宋体" w:hAnsi="Times New Roman" w:hint="eastAsia"/>
                <w:color w:val="000000"/>
                <w:kern w:val="0"/>
                <w:sz w:val="24"/>
                <w:lang/>
              </w:rPr>
              <w:t>《泉州市人民政府关于印发泉州市城市户外广告设施设置管理规定和泉州市户外广告设施设置技术规定的通知》（泉政文〔</w:t>
            </w:r>
            <w:r>
              <w:rPr>
                <w:rFonts w:ascii="Times New Roman" w:eastAsia="宋体" w:hAnsi="Times New Roman"/>
                <w:color w:val="000000"/>
                <w:kern w:val="0"/>
                <w:sz w:val="24"/>
                <w:lang/>
              </w:rPr>
              <w:t>2018</w:t>
            </w:r>
            <w:r>
              <w:rPr>
                <w:rFonts w:ascii="Times New Roman" w:eastAsia="宋体" w:hAnsi="Times New Roman" w:hint="eastAsia"/>
                <w:color w:val="000000"/>
                <w:kern w:val="0"/>
                <w:sz w:val="24"/>
                <w:lang/>
              </w:rPr>
              <w:t>〕</w:t>
            </w:r>
            <w:r>
              <w:rPr>
                <w:rFonts w:ascii="Times New Roman" w:eastAsia="宋体" w:hAnsi="Times New Roman"/>
                <w:color w:val="000000"/>
                <w:kern w:val="0"/>
                <w:sz w:val="24"/>
                <w:lang/>
              </w:rPr>
              <w:t>21</w:t>
            </w:r>
            <w:r>
              <w:rPr>
                <w:rFonts w:ascii="Times New Roman" w:eastAsia="宋体" w:hAnsi="Times New Roman" w:hint="eastAsia"/>
                <w:color w:val="000000"/>
                <w:kern w:val="0"/>
                <w:sz w:val="24"/>
                <w:lang/>
              </w:rPr>
              <w:t>号）第十二点：（六）场地权属证明或使用协议。</w:t>
            </w:r>
          </w:p>
        </w:tc>
        <w:tc>
          <w:tcPr>
            <w:tcW w:w="1247"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300" w:lineRule="atLeast"/>
              <w:jc w:val="center"/>
              <w:rPr>
                <w:rFonts w:ascii="Times New Roman" w:eastAsia="宋体" w:hAnsi="Times New Roman"/>
                <w:sz w:val="24"/>
              </w:rPr>
            </w:pPr>
            <w:r>
              <w:rPr>
                <w:rFonts w:ascii="Times New Roman" w:eastAsia="宋体" w:hAnsi="Times New Roman" w:hint="eastAsia"/>
                <w:color w:val="000000"/>
                <w:kern w:val="0"/>
                <w:sz w:val="24"/>
                <w:lang/>
              </w:rPr>
              <w:t>取消</w:t>
            </w:r>
          </w:p>
        </w:tc>
      </w:tr>
      <w:tr w:rsidR="00123971">
        <w:trPr>
          <w:jc w:val="center"/>
        </w:trPr>
        <w:tc>
          <w:tcPr>
            <w:tcW w:w="456" w:type="dxa"/>
            <w:tcBorders>
              <w:top w:val="nil"/>
              <w:left w:val="single" w:sz="8" w:space="0" w:color="000000"/>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400" w:lineRule="atLeast"/>
              <w:jc w:val="center"/>
              <w:rPr>
                <w:rFonts w:ascii="Times New Roman" w:eastAsia="宋体" w:hAnsi="Times New Roman"/>
              </w:rPr>
            </w:pPr>
            <w:r>
              <w:rPr>
                <w:rFonts w:ascii="Times New Roman" w:eastAsia="宋体" w:hAnsi="Times New Roman"/>
                <w:color w:val="000000"/>
                <w:shd w:val="clear" w:color="auto" w:fill="FFFFFF"/>
              </w:rPr>
              <w:t>3</w:t>
            </w:r>
          </w:p>
        </w:tc>
        <w:tc>
          <w:tcPr>
            <w:tcW w:w="1416"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260" w:lineRule="atLeast"/>
              <w:jc w:val="left"/>
              <w:rPr>
                <w:rFonts w:ascii="Times New Roman" w:eastAsia="宋体" w:hAnsi="Times New Roman"/>
                <w:sz w:val="24"/>
              </w:rPr>
            </w:pPr>
            <w:r>
              <w:rPr>
                <w:rFonts w:ascii="Times New Roman" w:eastAsia="宋体" w:hAnsi="Times New Roman" w:hint="eastAsia"/>
                <w:color w:val="000000"/>
                <w:kern w:val="0"/>
                <w:sz w:val="24"/>
                <w:lang/>
              </w:rPr>
              <w:t>虚拟产业园运营公司出具的住所托管证明</w:t>
            </w:r>
          </w:p>
        </w:tc>
        <w:tc>
          <w:tcPr>
            <w:tcW w:w="1245"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300" w:lineRule="atLeast"/>
              <w:jc w:val="left"/>
              <w:rPr>
                <w:rFonts w:ascii="Times New Roman" w:eastAsia="宋体" w:hAnsi="Times New Roman"/>
                <w:sz w:val="24"/>
              </w:rPr>
            </w:pPr>
            <w:r>
              <w:rPr>
                <w:rFonts w:ascii="Times New Roman" w:eastAsia="宋体" w:hAnsi="Times New Roman" w:hint="eastAsia"/>
                <w:color w:val="000000"/>
                <w:kern w:val="0"/>
                <w:sz w:val="24"/>
                <w:lang/>
              </w:rPr>
              <w:t>集群注册市场主体向登记机关申请登记提交的场所使用证明</w:t>
            </w:r>
          </w:p>
        </w:tc>
        <w:tc>
          <w:tcPr>
            <w:tcW w:w="5100"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240" w:lineRule="atLeast"/>
              <w:jc w:val="left"/>
              <w:rPr>
                <w:rFonts w:ascii="Times New Roman" w:eastAsia="宋体" w:hAnsi="Times New Roman"/>
                <w:sz w:val="24"/>
              </w:rPr>
            </w:pPr>
            <w:r>
              <w:rPr>
                <w:rFonts w:ascii="Times New Roman" w:eastAsia="宋体" w:hAnsi="Times New Roman" w:hint="eastAsia"/>
                <w:color w:val="000000"/>
                <w:kern w:val="0"/>
                <w:sz w:val="24"/>
                <w:lang/>
              </w:rPr>
              <w:t>《泉州市人民政府关于印发泉州市网商（虚拟）产业园区集群注册登记管理暂行规定的通知》（泉政文〔</w:t>
            </w:r>
            <w:r>
              <w:rPr>
                <w:rFonts w:ascii="Times New Roman" w:eastAsia="宋体" w:hAnsi="Times New Roman"/>
                <w:color w:val="000000"/>
                <w:kern w:val="0"/>
                <w:sz w:val="24"/>
                <w:lang/>
              </w:rPr>
              <w:t>2015</w:t>
            </w:r>
            <w:r>
              <w:rPr>
                <w:rFonts w:ascii="Times New Roman" w:eastAsia="宋体" w:hAnsi="Times New Roman" w:hint="eastAsia"/>
                <w:color w:val="000000"/>
                <w:kern w:val="0"/>
                <w:sz w:val="24"/>
                <w:lang/>
              </w:rPr>
              <w:t>〕</w:t>
            </w:r>
            <w:r>
              <w:rPr>
                <w:rFonts w:ascii="Times New Roman" w:eastAsia="宋体" w:hAnsi="Times New Roman"/>
                <w:color w:val="000000"/>
                <w:kern w:val="0"/>
                <w:sz w:val="24"/>
                <w:lang/>
              </w:rPr>
              <w:t>74</w:t>
            </w:r>
            <w:r>
              <w:rPr>
                <w:rFonts w:ascii="Times New Roman" w:eastAsia="宋体" w:hAnsi="Times New Roman" w:hint="eastAsia"/>
                <w:color w:val="000000"/>
                <w:kern w:val="0"/>
                <w:sz w:val="24"/>
                <w:lang/>
              </w:rPr>
              <w:t>号）第六点第二项：集群企业凭运营公司出具的住所托管证明文件作为住所使用证明办理工商登记注册，无需提供房屋权属或者使用证明。允许将同一场所（地址）登记为多个集群企业的住所，登记机关不审查住所的经营条件和功能用途。</w:t>
            </w:r>
          </w:p>
        </w:tc>
        <w:tc>
          <w:tcPr>
            <w:tcW w:w="1247"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300" w:lineRule="atLeast"/>
              <w:jc w:val="center"/>
              <w:rPr>
                <w:rFonts w:ascii="Times New Roman" w:eastAsia="宋体" w:hAnsi="Times New Roman"/>
                <w:sz w:val="24"/>
              </w:rPr>
            </w:pPr>
            <w:r>
              <w:rPr>
                <w:rFonts w:ascii="Times New Roman" w:eastAsia="宋体" w:hAnsi="Times New Roman" w:hint="eastAsia"/>
                <w:color w:val="000000"/>
                <w:kern w:val="0"/>
                <w:sz w:val="24"/>
                <w:lang/>
              </w:rPr>
              <w:t>取消</w:t>
            </w:r>
          </w:p>
        </w:tc>
      </w:tr>
      <w:tr w:rsidR="00123971">
        <w:trPr>
          <w:jc w:val="center"/>
        </w:trPr>
        <w:tc>
          <w:tcPr>
            <w:tcW w:w="456" w:type="dxa"/>
            <w:tcBorders>
              <w:top w:val="nil"/>
              <w:left w:val="single" w:sz="8" w:space="0" w:color="000000"/>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400" w:lineRule="atLeast"/>
              <w:jc w:val="center"/>
              <w:rPr>
                <w:rFonts w:ascii="Times New Roman" w:eastAsia="宋体" w:hAnsi="Times New Roman"/>
              </w:rPr>
            </w:pPr>
            <w:r>
              <w:rPr>
                <w:rFonts w:ascii="Times New Roman" w:eastAsia="宋体" w:hAnsi="Times New Roman"/>
                <w:color w:val="000000"/>
                <w:shd w:val="clear" w:color="auto" w:fill="FFFFFF"/>
              </w:rPr>
              <w:t>4</w:t>
            </w:r>
          </w:p>
        </w:tc>
        <w:tc>
          <w:tcPr>
            <w:tcW w:w="1416"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260" w:lineRule="atLeast"/>
              <w:jc w:val="left"/>
              <w:rPr>
                <w:rFonts w:ascii="Times New Roman" w:eastAsia="宋体" w:hAnsi="Times New Roman"/>
                <w:sz w:val="24"/>
              </w:rPr>
            </w:pPr>
            <w:r>
              <w:rPr>
                <w:rFonts w:ascii="Times New Roman" w:eastAsia="宋体" w:hAnsi="Times New Roman" w:hint="eastAsia"/>
                <w:color w:val="000000"/>
                <w:kern w:val="0"/>
                <w:sz w:val="24"/>
                <w:lang/>
              </w:rPr>
              <w:t>县（市、区）级以上税务、统计、环保部门出具的近三年的税收证明、销售额证明及环保情况证明</w:t>
            </w:r>
          </w:p>
        </w:tc>
        <w:tc>
          <w:tcPr>
            <w:tcW w:w="1245" w:type="dxa"/>
            <w:tcBorders>
              <w:top w:val="nil"/>
              <w:left w:val="nil"/>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300" w:lineRule="atLeast"/>
              <w:rPr>
                <w:rFonts w:ascii="Times New Roman" w:eastAsia="宋体" w:hAnsi="Times New Roman"/>
              </w:rPr>
            </w:pPr>
            <w:r>
              <w:rPr>
                <w:rFonts w:ascii="Times New Roman" w:eastAsia="宋体" w:hAnsi="Times New Roman" w:hint="eastAsia"/>
                <w:color w:val="000000"/>
                <w:shd w:val="clear" w:color="auto" w:fill="FFFFFF"/>
              </w:rPr>
              <w:t>申报泉州市政府质量奖</w:t>
            </w:r>
          </w:p>
        </w:tc>
        <w:tc>
          <w:tcPr>
            <w:tcW w:w="5100" w:type="dxa"/>
            <w:tcBorders>
              <w:top w:val="nil"/>
              <w:left w:val="nil"/>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240" w:lineRule="atLeast"/>
              <w:jc w:val="both"/>
              <w:rPr>
                <w:rFonts w:ascii="Times New Roman" w:eastAsia="宋体" w:hAnsi="Times New Roman"/>
              </w:rPr>
            </w:pPr>
            <w:r>
              <w:rPr>
                <w:rFonts w:ascii="Times New Roman" w:eastAsia="宋体" w:hAnsi="Times New Roman" w:hint="eastAsia"/>
                <w:color w:val="000000"/>
                <w:shd w:val="clear" w:color="auto" w:fill="FFFFFF"/>
              </w:rPr>
              <w:t>《泉州市人民政府关于泉州市政府质量奖评选管理的实施意见》（泉政文〔</w:t>
            </w:r>
            <w:r>
              <w:rPr>
                <w:rFonts w:ascii="Times New Roman" w:eastAsia="宋体" w:hAnsi="Times New Roman"/>
                <w:color w:val="000000"/>
                <w:shd w:val="clear" w:color="auto" w:fill="FFFFFF"/>
              </w:rPr>
              <w:t>2012</w:t>
            </w:r>
            <w:r>
              <w:rPr>
                <w:rFonts w:ascii="Times New Roman" w:eastAsia="宋体" w:hAnsi="Times New Roman" w:hint="eastAsia"/>
                <w:color w:val="000000"/>
                <w:shd w:val="clear" w:color="auto" w:fill="FFFFFF"/>
              </w:rPr>
              <w:t>〕</w:t>
            </w:r>
            <w:r>
              <w:rPr>
                <w:rFonts w:ascii="Times New Roman" w:eastAsia="宋体" w:hAnsi="Times New Roman"/>
                <w:color w:val="000000"/>
                <w:shd w:val="clear" w:color="auto" w:fill="FFFFFF"/>
              </w:rPr>
              <w:t>260</w:t>
            </w:r>
            <w:r>
              <w:rPr>
                <w:rFonts w:ascii="Times New Roman" w:eastAsia="宋体" w:hAnsi="Times New Roman" w:hint="eastAsia"/>
                <w:color w:val="000000"/>
                <w:shd w:val="clear" w:color="auto" w:fill="FFFFFF"/>
              </w:rPr>
              <w:t>号），并参照省政府质量奖要求提供的申报材料要求。</w:t>
            </w:r>
          </w:p>
        </w:tc>
        <w:tc>
          <w:tcPr>
            <w:tcW w:w="1247"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300" w:lineRule="atLeast"/>
              <w:jc w:val="center"/>
              <w:rPr>
                <w:rFonts w:ascii="Times New Roman" w:eastAsia="宋体" w:hAnsi="Times New Roman"/>
                <w:sz w:val="24"/>
              </w:rPr>
            </w:pPr>
            <w:r>
              <w:rPr>
                <w:rFonts w:ascii="Times New Roman" w:eastAsia="宋体" w:hAnsi="Times New Roman" w:hint="eastAsia"/>
                <w:color w:val="000000"/>
                <w:kern w:val="0"/>
                <w:sz w:val="24"/>
                <w:lang/>
              </w:rPr>
              <w:t>可通过政府部门间核查</w:t>
            </w:r>
          </w:p>
        </w:tc>
      </w:tr>
      <w:tr w:rsidR="00123971">
        <w:trPr>
          <w:jc w:val="center"/>
        </w:trPr>
        <w:tc>
          <w:tcPr>
            <w:tcW w:w="456" w:type="dxa"/>
            <w:tcBorders>
              <w:top w:val="nil"/>
              <w:left w:val="single" w:sz="8" w:space="0" w:color="000000"/>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400" w:lineRule="atLeast"/>
              <w:jc w:val="center"/>
              <w:rPr>
                <w:rFonts w:ascii="Times New Roman" w:eastAsia="宋体" w:hAnsi="Times New Roman"/>
              </w:rPr>
            </w:pPr>
            <w:r>
              <w:rPr>
                <w:rFonts w:ascii="Times New Roman" w:eastAsia="宋体" w:hAnsi="Times New Roman"/>
                <w:color w:val="000000"/>
                <w:shd w:val="clear" w:color="auto" w:fill="FFFFFF"/>
              </w:rPr>
              <w:t>5</w:t>
            </w:r>
          </w:p>
        </w:tc>
        <w:tc>
          <w:tcPr>
            <w:tcW w:w="1416"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260" w:lineRule="atLeast"/>
              <w:jc w:val="left"/>
              <w:rPr>
                <w:rFonts w:ascii="Times New Roman" w:eastAsia="宋体" w:hAnsi="Times New Roman"/>
                <w:sz w:val="24"/>
              </w:rPr>
            </w:pPr>
            <w:r>
              <w:rPr>
                <w:rFonts w:ascii="Times New Roman" w:eastAsia="宋体" w:hAnsi="Times New Roman" w:hint="eastAsia"/>
                <w:color w:val="000000"/>
                <w:kern w:val="0"/>
                <w:sz w:val="24"/>
                <w:lang/>
              </w:rPr>
              <w:t>企业主导产品销售收入</w:t>
            </w:r>
            <w:r>
              <w:rPr>
                <w:rFonts w:ascii="Times New Roman" w:eastAsia="宋体" w:hAnsi="Times New Roman"/>
                <w:color w:val="000000"/>
                <w:kern w:val="0"/>
                <w:sz w:val="24"/>
                <w:lang/>
              </w:rPr>
              <w:t>2014—2016</w:t>
            </w:r>
            <w:r>
              <w:rPr>
                <w:rFonts w:ascii="Times New Roman" w:eastAsia="宋体" w:hAnsi="Times New Roman" w:hint="eastAsia"/>
                <w:color w:val="000000"/>
                <w:kern w:val="0"/>
                <w:sz w:val="24"/>
                <w:lang/>
              </w:rPr>
              <w:t>年居全国前三位的，应提供国家有关部门或行业以及省直主管部门出具的证明</w:t>
            </w:r>
          </w:p>
        </w:tc>
        <w:tc>
          <w:tcPr>
            <w:tcW w:w="1245"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300" w:lineRule="atLeast"/>
              <w:jc w:val="left"/>
              <w:rPr>
                <w:rFonts w:ascii="Times New Roman" w:eastAsia="宋体" w:hAnsi="Times New Roman"/>
                <w:sz w:val="24"/>
              </w:rPr>
            </w:pPr>
            <w:r>
              <w:rPr>
                <w:rFonts w:ascii="Times New Roman" w:eastAsia="宋体" w:hAnsi="Times New Roman" w:hint="eastAsia"/>
                <w:color w:val="000000"/>
                <w:kern w:val="0"/>
                <w:sz w:val="24"/>
                <w:lang/>
              </w:rPr>
              <w:t>申报泉州市政府质量奖</w:t>
            </w:r>
          </w:p>
        </w:tc>
        <w:tc>
          <w:tcPr>
            <w:tcW w:w="5100" w:type="dxa"/>
            <w:tcBorders>
              <w:top w:val="nil"/>
              <w:left w:val="nil"/>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300" w:lineRule="atLeast"/>
              <w:jc w:val="both"/>
              <w:rPr>
                <w:rFonts w:ascii="Times New Roman" w:eastAsia="宋体" w:hAnsi="Times New Roman"/>
              </w:rPr>
            </w:pPr>
            <w:r>
              <w:rPr>
                <w:rFonts w:ascii="Times New Roman" w:eastAsia="宋体" w:hAnsi="Times New Roman" w:hint="eastAsia"/>
                <w:color w:val="000000"/>
                <w:shd w:val="clear" w:color="auto" w:fill="FFFFFF"/>
              </w:rPr>
              <w:t>《泉州市人民政府关于泉州市政府质量奖评选管理的实施意见》（泉政文〔</w:t>
            </w:r>
            <w:r>
              <w:rPr>
                <w:rFonts w:ascii="Times New Roman" w:eastAsia="宋体" w:hAnsi="Times New Roman"/>
                <w:color w:val="000000"/>
                <w:shd w:val="clear" w:color="auto" w:fill="FFFFFF"/>
              </w:rPr>
              <w:t>2012</w:t>
            </w:r>
            <w:r>
              <w:rPr>
                <w:rFonts w:ascii="Times New Roman" w:eastAsia="宋体" w:hAnsi="Times New Roman" w:hint="eastAsia"/>
                <w:color w:val="000000"/>
                <w:shd w:val="clear" w:color="auto" w:fill="FFFFFF"/>
              </w:rPr>
              <w:t>〕</w:t>
            </w:r>
            <w:r>
              <w:rPr>
                <w:rFonts w:ascii="Times New Roman" w:eastAsia="宋体" w:hAnsi="Times New Roman"/>
                <w:color w:val="000000"/>
                <w:shd w:val="clear" w:color="auto" w:fill="FFFFFF"/>
              </w:rPr>
              <w:t>260</w:t>
            </w:r>
            <w:r>
              <w:rPr>
                <w:rFonts w:ascii="Times New Roman" w:eastAsia="宋体" w:hAnsi="Times New Roman" w:hint="eastAsia"/>
                <w:color w:val="000000"/>
                <w:shd w:val="clear" w:color="auto" w:fill="FFFFFF"/>
              </w:rPr>
              <w:t>号），并参照省政府质量奖要求提供的申报材料要求。</w:t>
            </w:r>
          </w:p>
        </w:tc>
        <w:tc>
          <w:tcPr>
            <w:tcW w:w="1247"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300" w:lineRule="atLeast"/>
              <w:jc w:val="center"/>
              <w:rPr>
                <w:rFonts w:ascii="Times New Roman" w:eastAsia="宋体" w:hAnsi="Times New Roman"/>
                <w:sz w:val="24"/>
              </w:rPr>
            </w:pPr>
            <w:r>
              <w:rPr>
                <w:rFonts w:ascii="Times New Roman" w:eastAsia="宋体" w:hAnsi="Times New Roman" w:hint="eastAsia"/>
                <w:color w:val="000000"/>
                <w:kern w:val="0"/>
                <w:sz w:val="24"/>
                <w:lang/>
              </w:rPr>
              <w:t>取消</w:t>
            </w:r>
          </w:p>
        </w:tc>
      </w:tr>
      <w:tr w:rsidR="00123971">
        <w:trPr>
          <w:trHeight w:val="2061"/>
          <w:jc w:val="center"/>
        </w:trPr>
        <w:tc>
          <w:tcPr>
            <w:tcW w:w="456" w:type="dxa"/>
            <w:tcBorders>
              <w:top w:val="nil"/>
              <w:left w:val="single" w:sz="8" w:space="0" w:color="000000"/>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300" w:lineRule="atLeast"/>
              <w:jc w:val="center"/>
              <w:rPr>
                <w:rFonts w:ascii="Times New Roman" w:eastAsia="宋体" w:hAnsi="Times New Roman"/>
              </w:rPr>
            </w:pPr>
            <w:r>
              <w:rPr>
                <w:rFonts w:ascii="Times New Roman" w:eastAsia="宋体" w:hAnsi="Times New Roman"/>
                <w:color w:val="000000"/>
                <w:shd w:val="clear" w:color="auto" w:fill="FFFFFF"/>
              </w:rPr>
              <w:t>6</w:t>
            </w:r>
          </w:p>
        </w:tc>
        <w:tc>
          <w:tcPr>
            <w:tcW w:w="1416"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300" w:lineRule="atLeast"/>
              <w:jc w:val="left"/>
              <w:rPr>
                <w:rFonts w:ascii="Times New Roman" w:eastAsia="宋体" w:hAnsi="Times New Roman"/>
                <w:sz w:val="24"/>
              </w:rPr>
            </w:pPr>
            <w:r>
              <w:rPr>
                <w:rFonts w:ascii="Times New Roman" w:eastAsia="宋体" w:hAnsi="Times New Roman" w:hint="eastAsia"/>
                <w:color w:val="000000"/>
                <w:kern w:val="0"/>
                <w:sz w:val="24"/>
                <w:lang/>
              </w:rPr>
              <w:t>产权人的关系证明</w:t>
            </w:r>
          </w:p>
        </w:tc>
        <w:tc>
          <w:tcPr>
            <w:tcW w:w="1245"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300" w:lineRule="atLeast"/>
              <w:jc w:val="left"/>
              <w:rPr>
                <w:rFonts w:ascii="Times New Roman" w:eastAsia="宋体" w:hAnsi="Times New Roman"/>
                <w:sz w:val="24"/>
              </w:rPr>
            </w:pPr>
            <w:r>
              <w:rPr>
                <w:rFonts w:ascii="Times New Roman" w:eastAsia="宋体" w:hAnsi="Times New Roman" w:hint="eastAsia"/>
                <w:color w:val="000000"/>
                <w:kern w:val="0"/>
                <w:sz w:val="24"/>
                <w:lang/>
              </w:rPr>
              <w:t>申请危房整治审批</w:t>
            </w:r>
          </w:p>
        </w:tc>
        <w:tc>
          <w:tcPr>
            <w:tcW w:w="5100"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240" w:lineRule="atLeast"/>
              <w:jc w:val="left"/>
              <w:rPr>
                <w:rFonts w:ascii="Times New Roman" w:eastAsia="宋体" w:hAnsi="Times New Roman"/>
                <w:sz w:val="24"/>
              </w:rPr>
            </w:pPr>
            <w:r>
              <w:rPr>
                <w:rFonts w:ascii="Times New Roman" w:eastAsia="宋体" w:hAnsi="Times New Roman" w:hint="eastAsia"/>
                <w:color w:val="000000"/>
                <w:kern w:val="0"/>
                <w:sz w:val="24"/>
                <w:lang/>
              </w:rPr>
              <w:t>《泉州市人民政府办公室关于做好泉州古城保护与危房整治实施中无法以产权人名义申请审批相关工作的通知》（泉政办〔</w:t>
            </w:r>
            <w:r>
              <w:rPr>
                <w:rFonts w:ascii="Times New Roman" w:eastAsia="宋体" w:hAnsi="Times New Roman"/>
                <w:color w:val="000000"/>
                <w:kern w:val="0"/>
                <w:sz w:val="24"/>
                <w:lang/>
              </w:rPr>
              <w:t>2016</w:t>
            </w:r>
            <w:r>
              <w:rPr>
                <w:rFonts w:ascii="Times New Roman" w:eastAsia="宋体" w:hAnsi="Times New Roman" w:hint="eastAsia"/>
                <w:color w:val="000000"/>
                <w:kern w:val="0"/>
                <w:sz w:val="24"/>
                <w:lang/>
              </w:rPr>
              <w:t>〕</w:t>
            </w:r>
            <w:r>
              <w:rPr>
                <w:rFonts w:ascii="Times New Roman" w:eastAsia="宋体" w:hAnsi="Times New Roman"/>
                <w:color w:val="000000"/>
                <w:kern w:val="0"/>
                <w:sz w:val="24"/>
                <w:lang/>
              </w:rPr>
              <w:t>75</w:t>
            </w:r>
            <w:r>
              <w:rPr>
                <w:rFonts w:ascii="Times New Roman" w:eastAsia="宋体" w:hAnsi="Times New Roman" w:hint="eastAsia"/>
                <w:color w:val="000000"/>
                <w:kern w:val="0"/>
                <w:sz w:val="24"/>
                <w:lang/>
              </w:rPr>
              <w:t>号）附件中第三点：原产权人的法定继承人应当提供其与产权人的关系证明（由户籍管理部门或公证机关出具证明）以及其无法办理继承手续的原因说明和无法取得其他继承人同意对房屋进行整治的原因说明。</w:t>
            </w:r>
          </w:p>
        </w:tc>
        <w:tc>
          <w:tcPr>
            <w:tcW w:w="1247"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280" w:lineRule="atLeast"/>
              <w:jc w:val="center"/>
              <w:rPr>
                <w:rFonts w:ascii="Times New Roman" w:eastAsia="宋体" w:hAnsi="Times New Roman"/>
                <w:sz w:val="24"/>
              </w:rPr>
            </w:pPr>
            <w:r>
              <w:rPr>
                <w:rFonts w:ascii="Times New Roman" w:eastAsia="宋体" w:hAnsi="Times New Roman" w:hint="eastAsia"/>
                <w:color w:val="000000"/>
                <w:kern w:val="0"/>
                <w:sz w:val="24"/>
                <w:lang/>
              </w:rPr>
              <w:t>取消</w:t>
            </w:r>
          </w:p>
        </w:tc>
      </w:tr>
      <w:tr w:rsidR="00123971">
        <w:trPr>
          <w:jc w:val="center"/>
        </w:trPr>
        <w:tc>
          <w:tcPr>
            <w:tcW w:w="456" w:type="dxa"/>
            <w:tcBorders>
              <w:top w:val="nil"/>
              <w:left w:val="single" w:sz="8" w:space="0" w:color="000000"/>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400" w:lineRule="atLeast"/>
              <w:jc w:val="center"/>
              <w:rPr>
                <w:rFonts w:ascii="Times New Roman" w:eastAsia="宋体" w:hAnsi="Times New Roman"/>
              </w:rPr>
            </w:pPr>
            <w:r>
              <w:rPr>
                <w:rFonts w:ascii="Times New Roman" w:eastAsia="宋体" w:hAnsi="Times New Roman"/>
                <w:color w:val="000000"/>
                <w:shd w:val="clear" w:color="auto" w:fill="FFFFFF"/>
              </w:rPr>
              <w:t>7</w:t>
            </w:r>
          </w:p>
        </w:tc>
        <w:tc>
          <w:tcPr>
            <w:tcW w:w="1416"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300" w:lineRule="atLeast"/>
              <w:jc w:val="left"/>
              <w:rPr>
                <w:rFonts w:ascii="Times New Roman" w:eastAsia="宋体" w:hAnsi="Times New Roman"/>
                <w:sz w:val="24"/>
              </w:rPr>
            </w:pPr>
            <w:r>
              <w:rPr>
                <w:rFonts w:ascii="Times New Roman" w:eastAsia="宋体" w:hAnsi="Times New Roman" w:hint="eastAsia"/>
                <w:color w:val="000000"/>
                <w:kern w:val="0"/>
                <w:sz w:val="24"/>
                <w:lang/>
              </w:rPr>
              <w:t>应当提供其合法使用该房屋的书面证明或者原产权人授权委托的证明</w:t>
            </w:r>
          </w:p>
        </w:tc>
        <w:tc>
          <w:tcPr>
            <w:tcW w:w="1245"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300" w:lineRule="atLeast"/>
              <w:jc w:val="left"/>
              <w:rPr>
                <w:rFonts w:ascii="Times New Roman" w:eastAsia="宋体" w:hAnsi="Times New Roman"/>
                <w:sz w:val="24"/>
              </w:rPr>
            </w:pPr>
            <w:r>
              <w:rPr>
                <w:rFonts w:ascii="Times New Roman" w:eastAsia="宋体" w:hAnsi="Times New Roman" w:hint="eastAsia"/>
                <w:color w:val="000000"/>
                <w:kern w:val="0"/>
                <w:sz w:val="24"/>
                <w:lang/>
              </w:rPr>
              <w:t>申请危房整治审批</w:t>
            </w:r>
          </w:p>
        </w:tc>
        <w:tc>
          <w:tcPr>
            <w:tcW w:w="5100"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240" w:lineRule="atLeast"/>
              <w:jc w:val="left"/>
              <w:rPr>
                <w:rFonts w:ascii="Times New Roman" w:eastAsia="宋体" w:hAnsi="Times New Roman"/>
                <w:sz w:val="24"/>
              </w:rPr>
            </w:pPr>
            <w:r>
              <w:rPr>
                <w:rFonts w:ascii="Times New Roman" w:eastAsia="宋体" w:hAnsi="Times New Roman" w:hint="eastAsia"/>
                <w:color w:val="000000"/>
                <w:kern w:val="0"/>
                <w:sz w:val="24"/>
                <w:lang/>
              </w:rPr>
              <w:t>《泉州市人民政府办公室关于做好泉州古城保护与危房整治实施中无法以产权人名义申请审批相关工作的通知》（泉政办〔</w:t>
            </w:r>
            <w:r>
              <w:rPr>
                <w:rFonts w:ascii="Times New Roman" w:eastAsia="宋体" w:hAnsi="Times New Roman"/>
                <w:color w:val="000000"/>
                <w:kern w:val="0"/>
                <w:sz w:val="24"/>
                <w:lang/>
              </w:rPr>
              <w:t>2016</w:t>
            </w:r>
            <w:r>
              <w:rPr>
                <w:rFonts w:ascii="Times New Roman" w:eastAsia="宋体" w:hAnsi="Times New Roman" w:hint="eastAsia"/>
                <w:color w:val="000000"/>
                <w:kern w:val="0"/>
                <w:sz w:val="24"/>
                <w:lang/>
              </w:rPr>
              <w:t>〕</w:t>
            </w:r>
            <w:r>
              <w:rPr>
                <w:rFonts w:ascii="Times New Roman" w:eastAsia="宋体" w:hAnsi="Times New Roman"/>
                <w:color w:val="000000"/>
                <w:kern w:val="0"/>
                <w:sz w:val="24"/>
                <w:lang/>
              </w:rPr>
              <w:t>75</w:t>
            </w:r>
            <w:r>
              <w:rPr>
                <w:rFonts w:ascii="Times New Roman" w:eastAsia="宋体" w:hAnsi="Times New Roman" w:hint="eastAsia"/>
                <w:color w:val="000000"/>
                <w:kern w:val="0"/>
                <w:sz w:val="24"/>
                <w:lang/>
              </w:rPr>
              <w:t>号）附件中第四点：房屋的使用人、委托管理人（或其继承人）应当提供其合法使用该房屋的书面证明或者原产权人授权委托的证明材料（委托管理人的继承人还应提供其与委托管理人的关系证明）。</w:t>
            </w:r>
          </w:p>
        </w:tc>
        <w:tc>
          <w:tcPr>
            <w:tcW w:w="1247"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300" w:lineRule="atLeast"/>
              <w:jc w:val="center"/>
              <w:rPr>
                <w:rFonts w:ascii="Times New Roman" w:eastAsia="宋体" w:hAnsi="Times New Roman"/>
                <w:sz w:val="24"/>
              </w:rPr>
            </w:pPr>
            <w:r>
              <w:rPr>
                <w:rFonts w:ascii="Times New Roman" w:eastAsia="宋体" w:hAnsi="Times New Roman" w:hint="eastAsia"/>
                <w:color w:val="000000"/>
                <w:kern w:val="0"/>
                <w:sz w:val="24"/>
                <w:lang/>
              </w:rPr>
              <w:t>取消</w:t>
            </w:r>
          </w:p>
        </w:tc>
      </w:tr>
      <w:tr w:rsidR="00123971">
        <w:trPr>
          <w:jc w:val="center"/>
        </w:trPr>
        <w:tc>
          <w:tcPr>
            <w:tcW w:w="456" w:type="dxa"/>
            <w:tcBorders>
              <w:top w:val="nil"/>
              <w:left w:val="single" w:sz="8" w:space="0" w:color="000000"/>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400" w:lineRule="atLeast"/>
              <w:jc w:val="center"/>
              <w:rPr>
                <w:rFonts w:ascii="Times New Roman" w:eastAsia="宋体" w:hAnsi="Times New Roman"/>
              </w:rPr>
            </w:pPr>
            <w:r>
              <w:rPr>
                <w:rFonts w:ascii="Times New Roman" w:eastAsia="宋体" w:hAnsi="Times New Roman"/>
                <w:color w:val="000000"/>
                <w:shd w:val="clear" w:color="auto" w:fill="FFFFFF"/>
              </w:rPr>
              <w:t>8</w:t>
            </w:r>
          </w:p>
        </w:tc>
        <w:tc>
          <w:tcPr>
            <w:tcW w:w="1416"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300" w:lineRule="atLeast"/>
              <w:jc w:val="left"/>
              <w:rPr>
                <w:rFonts w:ascii="Times New Roman" w:eastAsia="宋体" w:hAnsi="Times New Roman"/>
                <w:sz w:val="24"/>
              </w:rPr>
            </w:pPr>
            <w:r>
              <w:rPr>
                <w:rFonts w:ascii="Times New Roman" w:eastAsia="宋体" w:hAnsi="Times New Roman" w:hint="eastAsia"/>
                <w:color w:val="000000"/>
                <w:kern w:val="0"/>
                <w:sz w:val="24"/>
                <w:lang/>
              </w:rPr>
              <w:t>鲤城区人民政府指定代为申请房屋整治的证明</w:t>
            </w:r>
          </w:p>
        </w:tc>
        <w:tc>
          <w:tcPr>
            <w:tcW w:w="1245"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300" w:lineRule="atLeast"/>
              <w:jc w:val="left"/>
              <w:rPr>
                <w:rFonts w:ascii="Times New Roman" w:eastAsia="宋体" w:hAnsi="Times New Roman"/>
                <w:sz w:val="24"/>
              </w:rPr>
            </w:pPr>
            <w:r>
              <w:rPr>
                <w:rFonts w:ascii="Times New Roman" w:eastAsia="宋体" w:hAnsi="Times New Roman" w:hint="eastAsia"/>
                <w:color w:val="000000"/>
                <w:kern w:val="0"/>
                <w:sz w:val="24"/>
                <w:lang/>
              </w:rPr>
              <w:t>申请危房整治审批</w:t>
            </w:r>
          </w:p>
        </w:tc>
        <w:tc>
          <w:tcPr>
            <w:tcW w:w="5100" w:type="dxa"/>
            <w:tcBorders>
              <w:top w:val="nil"/>
              <w:left w:val="nil"/>
              <w:bottom w:val="single" w:sz="8" w:space="0" w:color="000000"/>
              <w:right w:val="single" w:sz="8" w:space="0" w:color="000000"/>
            </w:tcBorders>
            <w:tcMar>
              <w:left w:w="108" w:type="dxa"/>
              <w:right w:w="108" w:type="dxa"/>
            </w:tcMar>
            <w:vAlign w:val="center"/>
          </w:tcPr>
          <w:p w:rsidR="00123971" w:rsidRDefault="00123971">
            <w:pPr>
              <w:pStyle w:val="NormalWeb"/>
              <w:widowControl/>
              <w:shd w:val="clear" w:color="auto" w:fill="FFFFFF"/>
              <w:spacing w:before="75" w:beforeAutospacing="0" w:after="75" w:afterAutospacing="0" w:line="260" w:lineRule="atLeast"/>
              <w:jc w:val="both"/>
              <w:rPr>
                <w:rFonts w:ascii="Times New Roman" w:eastAsia="宋体" w:hAnsi="Times New Roman"/>
              </w:rPr>
            </w:pPr>
            <w:r>
              <w:rPr>
                <w:rFonts w:ascii="Times New Roman" w:eastAsia="宋体" w:hAnsi="Times New Roman" w:hint="eastAsia"/>
                <w:color w:val="000000"/>
                <w:shd w:val="clear" w:color="auto" w:fill="FFFFFF"/>
              </w:rPr>
              <w:t>《泉州市人民政府办公室关于做好泉州古城保护与危房整治实施中无法以产权人名义申请审批相关工作的通知》（泉政办〔</w:t>
            </w:r>
            <w:r>
              <w:rPr>
                <w:rFonts w:ascii="Times New Roman" w:eastAsia="宋体" w:hAnsi="Times New Roman"/>
                <w:color w:val="000000"/>
                <w:shd w:val="clear" w:color="auto" w:fill="FFFFFF"/>
              </w:rPr>
              <w:t>2016</w:t>
            </w:r>
            <w:r>
              <w:rPr>
                <w:rFonts w:ascii="Times New Roman" w:eastAsia="宋体" w:hAnsi="Times New Roman" w:hint="eastAsia"/>
                <w:color w:val="000000"/>
                <w:shd w:val="clear" w:color="auto" w:fill="FFFFFF"/>
              </w:rPr>
              <w:t>〕</w:t>
            </w:r>
            <w:r>
              <w:rPr>
                <w:rFonts w:ascii="Times New Roman" w:eastAsia="宋体" w:hAnsi="Times New Roman"/>
                <w:color w:val="000000"/>
                <w:shd w:val="clear" w:color="auto" w:fill="FFFFFF"/>
              </w:rPr>
              <w:t>75</w:t>
            </w:r>
            <w:r>
              <w:rPr>
                <w:rFonts w:ascii="Times New Roman" w:eastAsia="宋体" w:hAnsi="Times New Roman" w:hint="eastAsia"/>
                <w:color w:val="000000"/>
                <w:shd w:val="clear" w:color="auto" w:fill="FFFFFF"/>
              </w:rPr>
              <w:t>号）附件中第五点：鲤城区人民政府指定代为申请房屋整治的证明材料。</w:t>
            </w:r>
          </w:p>
        </w:tc>
        <w:tc>
          <w:tcPr>
            <w:tcW w:w="1247" w:type="dxa"/>
            <w:tcBorders>
              <w:top w:val="nil"/>
              <w:left w:val="nil"/>
              <w:bottom w:val="single" w:sz="8" w:space="0" w:color="000000"/>
              <w:right w:val="single" w:sz="8" w:space="0" w:color="000000"/>
            </w:tcBorders>
            <w:tcMar>
              <w:left w:w="108" w:type="dxa"/>
              <w:right w:w="108" w:type="dxa"/>
            </w:tcMar>
            <w:vAlign w:val="center"/>
          </w:tcPr>
          <w:p w:rsidR="00123971" w:rsidRDefault="00123971">
            <w:pPr>
              <w:widowControl/>
              <w:spacing w:before="75" w:after="75" w:line="300" w:lineRule="atLeast"/>
              <w:jc w:val="center"/>
              <w:rPr>
                <w:rFonts w:ascii="Times New Roman" w:eastAsia="宋体" w:hAnsi="Times New Roman"/>
                <w:sz w:val="24"/>
              </w:rPr>
            </w:pPr>
            <w:r>
              <w:rPr>
                <w:rFonts w:ascii="Times New Roman" w:eastAsia="宋体" w:hAnsi="Times New Roman" w:hint="eastAsia"/>
                <w:color w:val="000000"/>
                <w:kern w:val="0"/>
                <w:sz w:val="24"/>
                <w:lang/>
              </w:rPr>
              <w:t>取消</w:t>
            </w:r>
          </w:p>
        </w:tc>
      </w:tr>
    </w:tbl>
    <w:p w:rsidR="00123971" w:rsidRDefault="00123971">
      <w:pPr>
        <w:pStyle w:val="NormalWeb"/>
        <w:widowControl/>
        <w:shd w:val="clear" w:color="auto" w:fill="FFFFFF"/>
        <w:spacing w:before="75" w:beforeAutospacing="0" w:after="75" w:afterAutospacing="0" w:line="312" w:lineRule="atLeast"/>
        <w:rPr>
          <w:rFonts w:ascii="Times New Roman" w:eastAsia="宋体" w:hAnsi="Times New Roman"/>
          <w:color w:val="555555"/>
        </w:rPr>
      </w:pPr>
      <w:r>
        <w:rPr>
          <w:rFonts w:ascii="Times New Roman" w:eastAsia="宋体" w:hAnsi="Times New Roman"/>
          <w:color w:val="555555"/>
          <w:shd w:val="clear" w:color="auto" w:fill="FFFFFF"/>
        </w:rPr>
        <w:t> </w:t>
      </w:r>
    </w:p>
    <w:p w:rsidR="00123971" w:rsidRDefault="00123971">
      <w:pPr>
        <w:rPr>
          <w:rFonts w:ascii="Times New Roman" w:hAnsi="Times New Roman"/>
        </w:rPr>
      </w:pPr>
    </w:p>
    <w:sectPr w:rsidR="00123971" w:rsidSect="006C21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2555253"/>
    <w:rsid w:val="00123971"/>
    <w:rsid w:val="006C2157"/>
    <w:rsid w:val="00CC7591"/>
    <w:rsid w:val="00CE14B6"/>
    <w:rsid w:val="00D85839"/>
    <w:rsid w:val="17786B6D"/>
    <w:rsid w:val="425552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157"/>
    <w:pPr>
      <w:widowControl w:val="0"/>
      <w:jc w:val="both"/>
    </w:pPr>
    <w:rPr>
      <w:rFonts w:ascii="Calibri" w:eastAsia="仿宋_GB2312" w:hAnsi="Calibri"/>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C2157"/>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205</Words>
  <Characters>1169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Abellin</dc:creator>
  <cp:keywords/>
  <dc:description/>
  <cp:lastModifiedBy>Microsoft</cp:lastModifiedBy>
  <cp:revision>2</cp:revision>
  <dcterms:created xsi:type="dcterms:W3CDTF">2019-07-03T02:23:00Z</dcterms:created>
  <dcterms:modified xsi:type="dcterms:W3CDTF">2019-07-03T02:23:00Z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